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8845" w:type="dxa"/>
        <w:jc w:val="center"/>
        <w:tblInd w:w="0" w:type="dxa"/>
        <w:tblLayout w:type="fixed"/>
        <w:tblCellMar>
          <w:top w:w="0" w:type="dxa"/>
          <w:left w:w="108" w:type="dxa"/>
          <w:bottom w:w="0" w:type="dxa"/>
          <w:right w:w="108" w:type="dxa"/>
        </w:tblCellMar>
      </w:tblPr>
      <w:tblGrid>
        <w:gridCol w:w="1263"/>
        <w:gridCol w:w="1264"/>
        <w:gridCol w:w="1263"/>
        <w:gridCol w:w="1264"/>
        <w:gridCol w:w="1263"/>
        <w:gridCol w:w="1264"/>
        <w:gridCol w:w="1264"/>
      </w:tblGrid>
      <w:tr>
        <w:tblPrEx>
          <w:tblLayout w:type="fixed"/>
          <w:tblCellMar>
            <w:top w:w="0" w:type="dxa"/>
            <w:left w:w="108" w:type="dxa"/>
            <w:bottom w:w="0" w:type="dxa"/>
            <w:right w:w="108" w:type="dxa"/>
          </w:tblCellMar>
        </w:tblPrEx>
        <w:trPr>
          <w:trHeight w:val="1701" w:hRule="atLeast"/>
          <w:jc w:val="center"/>
        </w:trPr>
        <w:tc>
          <w:tcPr>
            <w:tcW w:w="8845" w:type="dxa"/>
            <w:gridSpan w:val="7"/>
            <w:shd w:val="clear" w:color="auto" w:fill="auto"/>
            <w:vAlign w:val="center"/>
          </w:tcPr>
          <w:p>
            <w:pPr>
              <w:snapToGrid w:val="0"/>
              <w:jc w:val="center"/>
              <w:rPr>
                <w:rFonts w:hint="eastAsia" w:ascii="方正小标宋简体" w:hAnsi="Bookman Old Style" w:eastAsia="方正小标宋简体"/>
                <w:color w:val="FF0000"/>
                <w:spacing w:val="40"/>
                <w:w w:val="90"/>
                <w:sz w:val="72"/>
                <w:szCs w:val="72"/>
              </w:rPr>
            </w:pPr>
            <w:r>
              <w:rPr>
                <w:rFonts w:hint="eastAsia" w:eastAsia="方正小标宋简体"/>
                <w:color w:val="FF0000"/>
                <w:spacing w:val="20"/>
                <w:sz w:val="72"/>
                <w:szCs w:val="72"/>
              </w:rPr>
              <mc:AlternateContent>
                <mc:Choice Requires="wpg">
                  <w:drawing>
                    <wp:anchor distT="0" distB="0" distL="114300" distR="114300" simplePos="0" relativeHeight="251658240" behindDoc="0" locked="0" layoutInCell="1" allowOverlap="1">
                      <wp:simplePos x="0" y="0"/>
                      <wp:positionH relativeFrom="column">
                        <wp:posOffset>3641090</wp:posOffset>
                      </wp:positionH>
                      <wp:positionV relativeFrom="paragraph">
                        <wp:posOffset>901700</wp:posOffset>
                      </wp:positionV>
                      <wp:extent cx="1365885" cy="1136015"/>
                      <wp:effectExtent l="0" t="0" r="5715" b="6985"/>
                      <wp:wrapNone/>
                      <wp:docPr id="3" name="Group 32"/>
                      <wp:cNvGraphicFramePr/>
                      <a:graphic xmlns:a="http://schemas.openxmlformats.org/drawingml/2006/main">
                        <a:graphicData uri="http://schemas.microsoft.com/office/word/2010/wordprocessingGroup">
                          <wpg:wgp>
                            <wpg:cNvGrpSpPr/>
                            <wpg:grpSpPr>
                              <a:xfrm>
                                <a:off x="0" y="0"/>
                                <a:ext cx="1365885" cy="1136015"/>
                                <a:chOff x="6652" y="2244"/>
                                <a:chExt cx="2154" cy="937"/>
                              </a:xfrm>
                            </wpg:grpSpPr>
                            <wps:wsp>
                              <wps:cNvPr id="4" name="文本框 2"/>
                              <wps:cNvSpPr txBox="1">
                                <a:spLocks noChangeArrowheads="1"/>
                              </wps:cNvSpPr>
                              <wps:spPr bwMode="auto">
                                <a:xfrm>
                                  <a:off x="6652" y="2244"/>
                                  <a:ext cx="2154" cy="510"/>
                                </a:xfrm>
                                <a:prstGeom prst="rect">
                                  <a:avLst/>
                                </a:prstGeom>
                                <a:solidFill>
                                  <a:srgbClr val="FFFFFF"/>
                                </a:solidFill>
                                <a:ln>
                                  <a:noFill/>
                                </a:ln>
                              </wps:spPr>
                              <wps:txbx>
                                <w:txbxContent>
                                  <w:p>
                                    <w:pPr>
                                      <w:jc w:val="center"/>
                                      <w:rPr>
                                        <w:rFonts w:hint="eastAsia" w:eastAsia="宋体"/>
                                        <w:sz w:val="30"/>
                                        <w:szCs w:val="30"/>
                                        <w:lang w:eastAsia="zh-CN"/>
                                      </w:rPr>
                                    </w:pPr>
                                    <w:r>
                                      <w:rPr>
                                        <w:rFonts w:hint="eastAsia" w:ascii="宋体" w:hAnsi="宋体"/>
                                        <w:color w:val="000000"/>
                                        <w:sz w:val="30"/>
                                        <w:szCs w:val="30"/>
                                        <w:lang w:eastAsia="zh-CN"/>
                                      </w:rPr>
                                      <w:t>资产与后勤事务管理处</w:t>
                                    </w:r>
                                  </w:p>
                                </w:txbxContent>
                              </wps:txbx>
                              <wps:bodyPr rot="0" vert="horz" wrap="square" lIns="91440" tIns="45720" rIns="91440" bIns="45720" anchor="t" anchorCtr="0" upright="1">
                                <a:noAutofit/>
                              </wps:bodyPr>
                            </wps:wsp>
                            <wps:wsp>
                              <wps:cNvPr id="5" name="文本框 2"/>
                              <wps:cNvSpPr txBox="1">
                                <a:spLocks noChangeArrowheads="1"/>
                              </wps:cNvSpPr>
                              <wps:spPr bwMode="auto">
                                <a:xfrm>
                                  <a:off x="6652" y="2671"/>
                                  <a:ext cx="2154" cy="510"/>
                                </a:xfrm>
                                <a:prstGeom prst="rect">
                                  <a:avLst/>
                                </a:prstGeom>
                                <a:solidFill>
                                  <a:srgbClr val="FFFFFF"/>
                                </a:solidFill>
                                <a:ln>
                                  <a:noFill/>
                                </a:ln>
                              </wps:spPr>
                              <wps:txbx>
                                <w:txbxContent>
                                  <w:p>
                                    <w:pPr>
                                      <w:jc w:val="center"/>
                                      <w:rPr>
                                        <w:rFonts w:hint="eastAsia" w:eastAsia="宋体"/>
                                        <w:sz w:val="30"/>
                                        <w:szCs w:val="30"/>
                                        <w:lang w:eastAsia="zh-CN"/>
                                      </w:rPr>
                                    </w:pPr>
                                    <w:r>
                                      <w:rPr>
                                        <w:rFonts w:hint="eastAsia" w:ascii="宋体" w:hAnsi="宋体"/>
                                        <w:color w:val="000000"/>
                                        <w:sz w:val="30"/>
                                        <w:szCs w:val="30"/>
                                        <w:lang w:eastAsia="zh-CN"/>
                                      </w:rPr>
                                      <w:t>通知</w:t>
                                    </w:r>
                                  </w:p>
                                </w:txbxContent>
                              </wps:txbx>
                              <wps:bodyPr rot="0" vert="horz" wrap="square" lIns="91440" tIns="45720" rIns="91440" bIns="45720" anchor="t" anchorCtr="0" upright="1">
                                <a:noAutofit/>
                              </wps:bodyPr>
                            </wps:wsp>
                          </wpg:wgp>
                        </a:graphicData>
                      </a:graphic>
                    </wp:anchor>
                  </w:drawing>
                </mc:Choice>
                <mc:Fallback>
                  <w:pict>
                    <v:group id="Group 32" o:spid="_x0000_s1026" o:spt="203" style="position:absolute;left:0pt;margin-left:286.7pt;margin-top:71pt;height:89.45pt;width:107.55pt;z-index:251658240;mso-width-relative:page;mso-height-relative:page;" coordorigin="6652,2244" coordsize="2154,937" o:gfxdata="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WAAAAZHJzL1BLAQIUABQAAAAIAIdO4kCuLlRx3AAAAAsBAAAPAAAAAAAAAAEAIAAAADgAAABk&#10;cnMvZG93bnJldi54bWxQSwECFAAUAAAACACHTuJAcw91C5cCAACABwAADgAAAAAAAAABACAAAABB&#10;AQAAZHJzL2Uyb0RvYy54bWxQSwUGAAAAAAYABgBZAQAASgYAAAAA&#10;">
                      <o:lock v:ext="edit" aspectratio="f"/>
                      <v:shape id="文本框 2" o:spid="_x0000_s1026" o:spt="202" type="#_x0000_t202" style="position:absolute;left:6652;top:2244;height:510;width:2154;" fillcolor="#FFFFFF" filled="t" stroked="f" coordsize="21600,21600" o:gfxdata="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gBL6BLcAAADaAAAADwAAAAAAAAABACAAAAA4AAAAZHJzL2Rvd25yZXYueG1sUEsB&#10;AhQAFAAAAAgAh07iQDMvBZ47AAAAOQAAABAAAAAAAAAAAQAgAAAAHAEAAGRycy9zaGFwZXhtbC54&#10;bWxQSwUGAAAAAAYABgBbAQAAxgMAAAAA&#10;">
                        <v:fill on="t" focussize="0,0"/>
                        <v:stroke on="f"/>
                        <v:imagedata o:title=""/>
                        <o:lock v:ext="edit" aspectratio="f"/>
                        <v:textbox>
                          <w:txbxContent>
                            <w:p>
                              <w:pPr>
                                <w:jc w:val="center"/>
                                <w:rPr>
                                  <w:rFonts w:hint="eastAsia" w:eastAsia="宋体"/>
                                  <w:sz w:val="30"/>
                                  <w:szCs w:val="30"/>
                                  <w:lang w:eastAsia="zh-CN"/>
                                </w:rPr>
                              </w:pPr>
                              <w:r>
                                <w:rPr>
                                  <w:rFonts w:hint="eastAsia" w:ascii="宋体" w:hAnsi="宋体"/>
                                  <w:color w:val="000000"/>
                                  <w:sz w:val="30"/>
                                  <w:szCs w:val="30"/>
                                  <w:lang w:eastAsia="zh-CN"/>
                                </w:rPr>
                                <w:t>资产与后勤事务管理处</w:t>
                              </w:r>
                            </w:p>
                          </w:txbxContent>
                        </v:textbox>
                      </v:shape>
                      <v:shape id="文本框 2" o:spid="_x0000_s1026" o:spt="202" type="#_x0000_t202" style="position:absolute;left:6652;top:2671;height:510;width:2154;" fillcolor="#FFFFFF" filled="t" stroked="f" coordsize="21600,21600" o:gfxdata="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715fn7cAAADaAAAADwAAAAAAAAABACAAAAA4AAAAZHJzL2Rvd25yZXYueG1sUEsB&#10;AhQAFAAAAAgAh07iQDMvBZ47AAAAOQAAABAAAAAAAAAAAQAgAAAAHAEAAGRycy9zaGFwZXhtbC54&#10;bWxQSwUGAAAAAAYABgBbAQAAxgMAAAAA&#10;">
                        <v:fill on="t" focussize="0,0"/>
                        <v:stroke on="f"/>
                        <v:imagedata o:title=""/>
                        <o:lock v:ext="edit" aspectratio="f"/>
                        <v:textbox>
                          <w:txbxContent>
                            <w:p>
                              <w:pPr>
                                <w:jc w:val="center"/>
                                <w:rPr>
                                  <w:rFonts w:hint="eastAsia" w:eastAsia="宋体"/>
                                  <w:sz w:val="30"/>
                                  <w:szCs w:val="30"/>
                                  <w:lang w:eastAsia="zh-CN"/>
                                </w:rPr>
                              </w:pPr>
                              <w:r>
                                <w:rPr>
                                  <w:rFonts w:hint="eastAsia" w:ascii="宋体" w:hAnsi="宋体"/>
                                  <w:color w:val="000000"/>
                                  <w:sz w:val="30"/>
                                  <w:szCs w:val="30"/>
                                  <w:lang w:eastAsia="zh-CN"/>
                                </w:rPr>
                                <w:t>通知</w:t>
                              </w:r>
                            </w:p>
                          </w:txbxContent>
                        </v:textbox>
                      </v:shape>
                    </v:group>
                  </w:pict>
                </mc:Fallback>
              </mc:AlternateContent>
            </w:r>
          </w:p>
        </w:tc>
      </w:tr>
      <w:tr>
        <w:tblPrEx>
          <w:tblLayout w:type="fixed"/>
          <w:tblCellMar>
            <w:top w:w="0" w:type="dxa"/>
            <w:left w:w="108" w:type="dxa"/>
            <w:bottom w:w="0" w:type="dxa"/>
            <w:right w:w="108" w:type="dxa"/>
          </w:tblCellMar>
        </w:tblPrEx>
        <w:trPr>
          <w:trHeight w:val="1134" w:hRule="atLeast"/>
          <w:jc w:val="center"/>
        </w:trPr>
        <w:tc>
          <w:tcPr>
            <w:tcW w:w="1263" w:type="dxa"/>
            <w:shd w:val="clear" w:color="auto" w:fill="auto"/>
            <w:vAlign w:val="center"/>
          </w:tcPr>
          <w:p>
            <w:pPr>
              <w:snapToGrid w:val="0"/>
              <w:jc w:val="center"/>
              <w:rPr>
                <w:rFonts w:hint="eastAsia" w:eastAsia="方正小标宋简体"/>
                <w:color w:val="FF0000"/>
                <w:spacing w:val="20"/>
                <w:sz w:val="72"/>
                <w:szCs w:val="72"/>
              </w:rPr>
            </w:pPr>
            <w:r>
              <w:rPr>
                <w:rFonts w:hint="eastAsia" w:eastAsia="方正小标宋简体"/>
                <w:color w:val="FF0000"/>
                <w:spacing w:val="20"/>
                <w:sz w:val="84"/>
                <w:szCs w:val="84"/>
              </w:rPr>
              <w:t>厦</w:t>
            </w:r>
          </w:p>
        </w:tc>
        <w:tc>
          <w:tcPr>
            <w:tcW w:w="1264" w:type="dxa"/>
            <w:shd w:val="clear" w:color="auto" w:fill="auto"/>
            <w:vAlign w:val="center"/>
          </w:tcPr>
          <w:p>
            <w:pPr>
              <w:snapToGrid w:val="0"/>
              <w:jc w:val="center"/>
              <w:rPr>
                <w:rFonts w:hint="eastAsia" w:eastAsia="方正小标宋简体"/>
                <w:color w:val="FF0000"/>
                <w:spacing w:val="20"/>
                <w:sz w:val="72"/>
                <w:szCs w:val="72"/>
              </w:rPr>
            </w:pPr>
            <w:r>
              <w:rPr>
                <w:rFonts w:hint="eastAsia" w:eastAsia="方正小标宋简体"/>
                <w:color w:val="FF0000"/>
                <w:spacing w:val="20"/>
                <w:sz w:val="84"/>
                <w:szCs w:val="84"/>
              </w:rPr>
              <w:t>门</w:t>
            </w:r>
          </w:p>
        </w:tc>
        <w:tc>
          <w:tcPr>
            <w:tcW w:w="1263" w:type="dxa"/>
            <w:shd w:val="clear" w:color="auto" w:fill="auto"/>
            <w:vAlign w:val="center"/>
          </w:tcPr>
          <w:p>
            <w:pPr>
              <w:snapToGrid w:val="0"/>
              <w:jc w:val="center"/>
              <w:rPr>
                <w:rFonts w:hint="eastAsia" w:eastAsia="方正小标宋简体"/>
                <w:color w:val="FF0000"/>
                <w:spacing w:val="20"/>
                <w:sz w:val="72"/>
                <w:szCs w:val="72"/>
              </w:rPr>
            </w:pPr>
            <w:r>
              <w:rPr>
                <w:rFonts w:hint="eastAsia" w:eastAsia="方正小标宋简体"/>
                <w:color w:val="FF0000"/>
                <w:spacing w:val="20"/>
                <w:sz w:val="84"/>
                <w:szCs w:val="84"/>
              </w:rPr>
              <w:t>大</w:t>
            </w:r>
          </w:p>
        </w:tc>
        <w:tc>
          <w:tcPr>
            <w:tcW w:w="1264" w:type="dxa"/>
            <w:shd w:val="clear" w:color="auto" w:fill="auto"/>
            <w:vAlign w:val="center"/>
          </w:tcPr>
          <w:p>
            <w:pPr>
              <w:snapToGrid w:val="0"/>
              <w:jc w:val="center"/>
              <w:rPr>
                <w:rFonts w:hint="eastAsia" w:eastAsia="方正小标宋简体"/>
                <w:color w:val="FF0000"/>
                <w:spacing w:val="20"/>
                <w:sz w:val="72"/>
                <w:szCs w:val="72"/>
              </w:rPr>
            </w:pPr>
            <w:r>
              <w:rPr>
                <w:rFonts w:hint="eastAsia" w:eastAsia="方正小标宋简体"/>
                <w:color w:val="FF0000"/>
                <w:spacing w:val="20"/>
                <w:sz w:val="84"/>
                <w:szCs w:val="84"/>
              </w:rPr>
              <w:t>学</w:t>
            </w:r>
          </w:p>
        </w:tc>
        <w:tc>
          <w:tcPr>
            <w:tcW w:w="1263" w:type="dxa"/>
            <w:shd w:val="clear" w:color="auto" w:fill="auto"/>
            <w:vAlign w:val="center"/>
          </w:tcPr>
          <w:p>
            <w:pPr>
              <w:snapToGrid w:val="0"/>
              <w:jc w:val="left"/>
              <w:rPr>
                <w:rFonts w:hint="eastAsia" w:eastAsia="方正小标宋简体"/>
                <w:color w:val="FF0000"/>
                <w:spacing w:val="20"/>
                <w:sz w:val="72"/>
                <w:szCs w:val="72"/>
              </w:rPr>
            </w:pPr>
            <w:r>
              <w:rPr>
                <w:rFonts w:hint="eastAsia" w:eastAsia="方正小标宋简体"/>
                <w:color w:val="FF0000"/>
                <w:spacing w:val="20"/>
                <w:sz w:val="84"/>
                <w:szCs w:val="84"/>
              </w:rPr>
              <w:t>（</w:t>
            </w:r>
          </w:p>
        </w:tc>
        <w:tc>
          <w:tcPr>
            <w:tcW w:w="1264" w:type="dxa"/>
            <w:shd w:val="clear" w:color="auto" w:fill="auto"/>
            <w:vAlign w:val="center"/>
          </w:tcPr>
          <w:p>
            <w:pPr>
              <w:snapToGrid w:val="0"/>
              <w:jc w:val="center"/>
              <w:rPr>
                <w:rFonts w:hint="eastAsia" w:eastAsia="方正小标宋简体"/>
                <w:color w:val="FF0000"/>
                <w:spacing w:val="20"/>
                <w:sz w:val="72"/>
                <w:szCs w:val="72"/>
              </w:rPr>
            </w:pPr>
          </w:p>
        </w:tc>
        <w:tc>
          <w:tcPr>
            <w:tcW w:w="1264" w:type="dxa"/>
            <w:shd w:val="clear" w:color="auto" w:fill="auto"/>
            <w:vAlign w:val="center"/>
          </w:tcPr>
          <w:p>
            <w:pPr>
              <w:snapToGrid w:val="0"/>
              <w:jc w:val="right"/>
              <w:rPr>
                <w:rFonts w:hint="eastAsia" w:eastAsia="方正小标宋简体"/>
                <w:color w:val="FF0000"/>
                <w:spacing w:val="20"/>
                <w:sz w:val="72"/>
                <w:szCs w:val="72"/>
              </w:rPr>
            </w:pPr>
            <w:r>
              <w:rPr>
                <w:rFonts w:hint="eastAsia" w:eastAsia="方正小标宋简体"/>
                <w:color w:val="FF0000"/>
                <w:spacing w:val="20"/>
                <w:sz w:val="84"/>
                <w:szCs w:val="84"/>
              </w:rPr>
              <w:t>）</w:t>
            </w:r>
          </w:p>
        </w:tc>
      </w:tr>
      <w:tr>
        <w:tblPrEx>
          <w:tblLayout w:type="fixed"/>
          <w:tblCellMar>
            <w:top w:w="0" w:type="dxa"/>
            <w:left w:w="108" w:type="dxa"/>
            <w:bottom w:w="0" w:type="dxa"/>
            <w:right w:w="108" w:type="dxa"/>
          </w:tblCellMar>
        </w:tblPrEx>
        <w:trPr>
          <w:trHeight w:val="1134" w:hRule="atLeast"/>
          <w:jc w:val="center"/>
        </w:trPr>
        <w:tc>
          <w:tcPr>
            <w:tcW w:w="8845" w:type="dxa"/>
            <w:gridSpan w:val="7"/>
            <w:shd w:val="clear" w:color="auto" w:fill="auto"/>
            <w:vAlign w:val="bottom"/>
          </w:tcPr>
          <w:p>
            <w:pPr>
              <w:snapToGrid w:val="0"/>
              <w:spacing w:line="560" w:lineRule="exact"/>
              <w:jc w:val="center"/>
              <w:rPr>
                <w:rFonts w:hint="eastAsia" w:ascii="Bookman Old Style" w:hAnsi="Bookman Old Style" w:eastAsia="宋体"/>
                <w:b/>
                <w:color w:val="FF0000"/>
                <w:spacing w:val="50"/>
                <w:w w:val="90"/>
                <w:sz w:val="44"/>
                <w:lang w:eastAsia="zh-CN"/>
              </w:rPr>
            </w:pPr>
            <w:bookmarkStart w:id="0" w:name="docnum"/>
            <w:r>
              <w:rPr>
                <w:rFonts w:hint="eastAsia" w:ascii="仿宋" w:hAnsi="仿宋" w:eastAsia="仿宋"/>
                <w:sz w:val="32"/>
                <w:lang w:eastAsia="zh-CN"/>
              </w:rPr>
              <w:t>（2022）厦大资产16号</w:t>
            </w:r>
            <w:bookmarkEnd w:id="0"/>
          </w:p>
        </w:tc>
      </w:tr>
      <w:tr>
        <w:tblPrEx>
          <w:tblLayout w:type="fixed"/>
          <w:tblCellMar>
            <w:top w:w="0" w:type="dxa"/>
            <w:left w:w="108" w:type="dxa"/>
            <w:bottom w:w="0" w:type="dxa"/>
            <w:right w:w="108" w:type="dxa"/>
          </w:tblCellMar>
        </w:tblPrEx>
        <w:trPr>
          <w:trHeight w:val="567" w:hRule="atLeast"/>
          <w:jc w:val="center"/>
        </w:trPr>
        <w:tc>
          <w:tcPr>
            <w:tcW w:w="8845" w:type="dxa"/>
            <w:gridSpan w:val="7"/>
            <w:shd w:val="clear" w:color="auto" w:fill="auto"/>
          </w:tcPr>
          <w:p>
            <w:pPr>
              <w:jc w:val="center"/>
              <w:rPr>
                <w:rFonts w:hint="eastAsia" w:ascii="Bookman Old Style" w:hAnsi="Bookman Old Style"/>
                <w:b/>
                <w:color w:val="FF0000"/>
                <w:spacing w:val="50"/>
                <w:w w:val="90"/>
                <w:sz w:val="44"/>
                <w:szCs w:val="44"/>
              </w:rPr>
            </w:pPr>
            <w:r>
              <w:rPr>
                <w:rFonts w:hint="eastAsia" w:ascii="仿宋" w:hAnsi="仿宋" w:eastAsia="仿宋"/>
                <w:sz w:val="44"/>
                <w:szCs w:val="44"/>
              </w:rPr>
              <mc:AlternateContent>
                <mc:Choice Requires="wps">
                  <w:drawing>
                    <wp:anchor distT="0" distB="0" distL="114300" distR="114300" simplePos="0" relativeHeight="251658240" behindDoc="0" locked="0" layoutInCell="1" allowOverlap="1">
                      <wp:simplePos x="0" y="0"/>
                      <wp:positionH relativeFrom="column">
                        <wp:posOffset>-34290</wp:posOffset>
                      </wp:positionH>
                      <wp:positionV relativeFrom="paragraph">
                        <wp:posOffset>146050</wp:posOffset>
                      </wp:positionV>
                      <wp:extent cx="5615940" cy="0"/>
                      <wp:effectExtent l="13335" t="10160" r="9525" b="18415"/>
                      <wp:wrapNone/>
                      <wp:docPr id="2" name="AutoShape 1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19050">
                                <a:solidFill>
                                  <a:srgbClr val="FF0000"/>
                                </a:solidFill>
                                <a:round/>
                              </a:ln>
                            </wps:spPr>
                            <wps:bodyPr/>
                          </wps:wsp>
                        </a:graphicData>
                      </a:graphic>
                    </wp:anchor>
                  </w:drawing>
                </mc:Choice>
                <mc:Fallback>
                  <w:pict>
                    <v:shape id="AutoShape 12" o:spid="_x0000_s1026" o:spt="32" type="#_x0000_t32" style="position:absolute;left:0pt;margin-left:-2.7pt;margin-top:11.5pt;height:0pt;width:442.2pt;z-index:251658240;mso-width-relative:page;mso-height-relative:page;" filled="f" stroked="t" coordsize="21600,21600" o:gfxdata="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sJaxtYAAAAIAQAADwAAAAAAAAABACAAAAA4&#10;AAAAZHJzL2Rvd25yZXYueG1sUEsBAhQAFAAAAAgAh07iQAn1Kta9AQAAZgMAAA4AAAAAAAAAAQAg&#10;AAAAOwEAAGRycy9lMm9Eb2MueG1sUEsFBgAAAAAGAAYAWQEAAGoFAAAAAA==&#10;">
                      <v:fill on="f" focussize="0,0"/>
                      <v:stroke weight="1.5pt" color="#FF0000" joinstyle="round"/>
                      <v:imagedata o:title=""/>
                      <o:lock v:ext="edit" aspectratio="f"/>
                    </v:shape>
                  </w:pict>
                </mc:Fallback>
              </mc:AlternateContent>
            </w:r>
          </w:p>
        </w:tc>
      </w:tr>
    </w:tbl>
    <w:p>
      <w:pPr>
        <w:widowControl/>
        <w:adjustRightInd w:val="0"/>
        <w:contextualSpacing/>
        <w:rPr>
          <w:rFonts w:ascii="仿宋" w:hAnsi="仿宋" w:eastAsia="仿宋"/>
          <w:sz w:val="32"/>
          <w:szCs w:val="30"/>
        </w:rPr>
      </w:pPr>
    </w:p>
    <w:p>
      <w:pPr>
        <w:keepNext w:val="0"/>
        <w:keepLines w:val="0"/>
        <w:widowControl w:val="0"/>
        <w:suppressLineNumbers w:val="0"/>
        <w:spacing w:before="0" w:beforeAutospacing="0" w:after="0" w:afterAutospacing="0" w:line="560" w:lineRule="exact"/>
        <w:ind w:left="0" w:right="0"/>
        <w:jc w:val="center"/>
        <w:rPr>
          <w:rFonts w:hint="eastAsia" w:ascii="方正小标宋简体" w:hAnsi="方正小标宋简体" w:eastAsia="方正小标宋简体" w:cs="方正小标宋简体"/>
          <w:sz w:val="44"/>
          <w:szCs w:val="32"/>
          <w:lang w:val="en-US"/>
        </w:rPr>
      </w:pPr>
      <w:bookmarkStart w:id="1" w:name="redhead"/>
      <w:r>
        <w:rPr>
          <w:rFonts w:hint="eastAsia" w:ascii="方正小标宋简体" w:hAnsi="方正小标宋简体" w:eastAsia="方正小标宋简体" w:cs="方正小标宋简体"/>
          <w:kern w:val="2"/>
          <w:sz w:val="44"/>
          <w:szCs w:val="32"/>
          <w:lang w:val="en-US" w:eastAsia="zh-CN" w:bidi="ar"/>
        </w:rPr>
        <w:t>关于进一步做好我校货物和服务验收工作有关事项的通知</w:t>
      </w:r>
    </w:p>
    <w:p>
      <w:pPr>
        <w:keepNext w:val="0"/>
        <w:keepLines w:val="0"/>
        <w:widowControl w:val="0"/>
        <w:suppressLineNumbers w:val="0"/>
        <w:spacing w:before="0" w:beforeAutospacing="0" w:after="0" w:afterAutospacing="0" w:line="560" w:lineRule="exact"/>
        <w:ind w:left="0" w:right="0"/>
        <w:jc w:val="center"/>
        <w:rPr>
          <w:rFonts w:hint="eastAsia" w:ascii="仿宋" w:hAnsi="仿宋" w:eastAsia="仿宋" w:cs="仿宋"/>
          <w:sz w:val="32"/>
          <w:szCs w:val="32"/>
          <w:lang w:val="en-US"/>
        </w:rPr>
      </w:pPr>
    </w:p>
    <w:p>
      <w:pPr>
        <w:keepNext w:val="0"/>
        <w:keepLines w:val="0"/>
        <w:widowControl w:val="0"/>
        <w:suppressLineNumbers w:val="0"/>
        <w:spacing w:before="0" w:beforeAutospacing="0" w:after="0" w:afterAutospacing="0" w:line="560" w:lineRule="exact"/>
        <w:ind w:left="0" w:right="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全校各单位：</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为进一步强化履约验收作用，推动实现优质优价采购，根据《中华人民共和国政府采购法》及其实施条例、《财政部关于进一步加强政府采购需求和履约验收管理的指导意见》以及《厦门大学采购管理办法》等相关规定，现就做好我校货物和服务验收工作有关事项通知如下：</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黑体" w:hAnsi="宋体" w:eastAsia="黑体" w:cs="Times New Roman"/>
          <w:sz w:val="32"/>
          <w:szCs w:val="32"/>
          <w:lang w:val="en-US"/>
        </w:rPr>
      </w:pPr>
      <w:r>
        <w:rPr>
          <w:rFonts w:hint="eastAsia" w:ascii="黑体" w:hAnsi="宋体" w:eastAsia="黑体" w:cs="Times New Roman"/>
          <w:kern w:val="2"/>
          <w:sz w:val="32"/>
          <w:szCs w:val="32"/>
          <w:lang w:val="en-US" w:eastAsia="zh-CN" w:bidi="ar"/>
        </w:rPr>
        <w:t>一、落实验收主体责任</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bCs/>
          <w:sz w:val="32"/>
          <w:szCs w:val="32"/>
          <w:lang w:val="en-US"/>
        </w:rPr>
      </w:pPr>
      <w:r>
        <w:rPr>
          <w:rFonts w:hint="eastAsia" w:ascii="仿宋" w:hAnsi="仿宋" w:eastAsia="仿宋" w:cs="仿宋"/>
          <w:bCs/>
          <w:kern w:val="2"/>
          <w:sz w:val="32"/>
          <w:szCs w:val="32"/>
          <w:lang w:val="en-US" w:eastAsia="zh-CN" w:bidi="ar"/>
        </w:rPr>
        <w:t>严格规范开展履约验收是加强采购结果管理的重要举措，是保证采购质量、开展绩效评价、形成闭环管理的重要环节。各单位要充分认识履约验收管理的重要性和必要性，切实加强内控管理，明确验收机制，确认验收结论，履行验收责任，及时处理验收中发现的问题，进一步强化采购活动结果管理。</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按照学校验收工作“用户主导、多方参与、相互监督、权责明确”的原则，用户单位是采购项目验收工作的责任主体，负责对供应商履行采购合同情况进行检验、核实和评估，以确认其提供的货物、服务是否符合采购合同约定的标准和要求。科研仪器设备，服务采购项目，学校招投标中心采购限额以下的非科研仪器设备由用户单位自行验收；学校招投标中心采购限额以上的非科研仪器设备由用户单位组织发起监督验收。</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资产与后勤事务管理处（以下简称资产后勤处）作为业务归口管理部门，负责指导和监督用户单位按照合同约定规范开展验收工作，制定采购履约验收规范模板，参与相关项目的监督验收等工作。除本通知所附《货物验收报告（初验）》《货物验收报告（终验）》外，其他新增验收模板将陆续在资产后勤处网站发布，各单位应当参照执行。</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黑体" w:hAnsi="宋体" w:eastAsia="黑体" w:cs="Times New Roman"/>
          <w:sz w:val="32"/>
          <w:szCs w:val="32"/>
          <w:lang w:val="en-US"/>
        </w:rPr>
      </w:pPr>
      <w:r>
        <w:rPr>
          <w:rFonts w:hint="eastAsia" w:ascii="黑体" w:hAnsi="宋体" w:eastAsia="黑体" w:cs="Times New Roman"/>
          <w:kern w:val="2"/>
          <w:sz w:val="32"/>
          <w:szCs w:val="32"/>
          <w:lang w:val="en-US" w:eastAsia="zh-CN" w:bidi="ar"/>
        </w:rPr>
        <w:t>二、强化验收过程管理</w:t>
      </w:r>
    </w:p>
    <w:p>
      <w:pPr>
        <w:keepNext w:val="0"/>
        <w:keepLines w:val="0"/>
        <w:widowControl w:val="0"/>
        <w:suppressLineNumbers w:val="0"/>
        <w:spacing w:before="0" w:beforeAutospacing="0" w:after="0" w:afterAutospacing="0" w:line="560" w:lineRule="exact"/>
        <w:ind w:left="0" w:right="0" w:firstLine="643" w:firstLineChars="200"/>
        <w:jc w:val="both"/>
        <w:rPr>
          <w:rFonts w:hint="eastAsia" w:ascii="楷体" w:hAnsi="楷体" w:eastAsia="楷体" w:cs="楷体"/>
          <w:b/>
          <w:bCs w:val="0"/>
          <w:sz w:val="32"/>
          <w:szCs w:val="32"/>
          <w:lang w:val="en-US"/>
        </w:rPr>
      </w:pPr>
      <w:r>
        <w:rPr>
          <w:rFonts w:hint="eastAsia" w:ascii="楷体" w:hAnsi="楷体" w:eastAsia="楷体" w:cs="楷体"/>
          <w:b/>
          <w:bCs w:val="0"/>
          <w:kern w:val="2"/>
          <w:sz w:val="32"/>
          <w:szCs w:val="32"/>
          <w:lang w:val="en-US" w:eastAsia="zh-CN" w:bidi="ar"/>
        </w:rPr>
        <w:t>（一）制定验收方案</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用户单位应当根据采购项目的具体情况，合理制定详细的采购项目验收工作方案。验收方案应当包括项目基本情况、验收小组组建、验收方法、验收内容、验收组织机构等内容。</w:t>
      </w:r>
    </w:p>
    <w:p>
      <w:pPr>
        <w:keepNext w:val="0"/>
        <w:keepLines w:val="0"/>
        <w:widowControl w:val="0"/>
        <w:suppressLineNumbers w:val="0"/>
        <w:spacing w:before="0" w:beforeAutospacing="0" w:after="0" w:afterAutospacing="0" w:line="560" w:lineRule="exact"/>
        <w:ind w:left="0" w:right="0" w:firstLine="643" w:firstLineChars="200"/>
        <w:jc w:val="both"/>
        <w:rPr>
          <w:rFonts w:hint="eastAsia" w:ascii="楷体" w:hAnsi="楷体" w:eastAsia="楷体" w:cs="楷体"/>
          <w:b/>
          <w:bCs w:val="0"/>
          <w:sz w:val="32"/>
          <w:szCs w:val="32"/>
          <w:lang w:val="en-US"/>
        </w:rPr>
      </w:pPr>
      <w:r>
        <w:rPr>
          <w:rFonts w:hint="eastAsia" w:ascii="楷体" w:hAnsi="楷体" w:eastAsia="楷体" w:cs="楷体"/>
          <w:b/>
          <w:bCs w:val="0"/>
          <w:kern w:val="2"/>
          <w:sz w:val="32"/>
          <w:szCs w:val="32"/>
          <w:lang w:val="en-US" w:eastAsia="zh-CN" w:bidi="ar"/>
        </w:rPr>
        <w:t>（二）明确验收方式</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验收方式分为一次性验收、分段验收和分期验收三种。对于涉及到原材料查验、内部设备安装等隐蔽环节，以及需要设置出厂、到货、安装调试、配套服务检验等多重验收环节的项目，应当采取分段验收方式。服务类项目，可根据项目特点对服务期内的服务实施情况进行分期考核，结合考核情况和服务效果进行分期验收。</w:t>
      </w:r>
    </w:p>
    <w:p>
      <w:pPr>
        <w:keepNext w:val="0"/>
        <w:keepLines w:val="0"/>
        <w:widowControl w:val="0"/>
        <w:suppressLineNumbers w:val="0"/>
        <w:spacing w:before="0" w:beforeAutospacing="0" w:after="0" w:afterAutospacing="0" w:line="560" w:lineRule="exact"/>
        <w:ind w:left="0" w:right="0" w:firstLine="643" w:firstLineChars="200"/>
        <w:jc w:val="both"/>
        <w:rPr>
          <w:rFonts w:hint="eastAsia" w:ascii="楷体" w:hAnsi="楷体" w:eastAsia="楷体" w:cs="楷体"/>
          <w:b/>
          <w:bCs w:val="0"/>
          <w:sz w:val="32"/>
          <w:szCs w:val="32"/>
          <w:lang w:val="en-US"/>
        </w:rPr>
      </w:pPr>
      <w:r>
        <w:rPr>
          <w:rFonts w:hint="eastAsia" w:ascii="楷体" w:hAnsi="楷体" w:eastAsia="楷体" w:cs="楷体"/>
          <w:b/>
          <w:bCs w:val="0"/>
          <w:kern w:val="2"/>
          <w:sz w:val="32"/>
          <w:szCs w:val="32"/>
          <w:lang w:val="en-US" w:eastAsia="zh-CN" w:bidi="ar"/>
        </w:rPr>
        <w:t>（三）细化验收内容</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验收应包括初验和终验。初验指使用方到货时根据采购文件、合同清单对货物外包装、品牌型号、规格、数量等进行核对，同时查验相关的合格证书及技术资料，并出具初验确认单；终验指货物完成安装调试且运行正常情况下，对货物技术参数、性能等方面的质量验收。</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1.初验时，使用单位应与供应商当面清点仪器设备及附件，并在初验报告上登记并签字确认；</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初验包括但不限于以下内容：</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（1）检查货物外包装是否完好；</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（2）检查货物主件和配件外表有无残损、锈蚀等；</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（3）检查货物的主件、配件的数量以及型号、规格等；</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（4）检查相关资料是否齐全，如仪器设备使用说明书、检修手册、产品合格证、保修卡、光盘资料、进口设备的报关清单（如有）等。</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2.终验应在仪器设备安装调试、联机调试工作完毕、培训工作结束且设备进行了必要的试运行后进行。由供应商向用户单位发出项目验收建议。用户单位原则上应当自收到验收建议之日起7个工作日内启动项目验收，并通知供应商。</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终验包括但不限于以下内容：</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（1）核对初验验收意见，对于初验不合格的需复验是否已整改完成。</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2）应严格按照合同约定的标准、技术协议及产品出厂的主要技术指标，审查供应商提供的安装调试及测试报告（计量、检测设备须提供具有检测资质的第三方检测报告）、联机调试报告，逐项验收仪器设备的各项功能。</w:t>
      </w:r>
    </w:p>
    <w:p>
      <w:pPr>
        <w:keepNext w:val="0"/>
        <w:keepLines w:val="0"/>
        <w:widowControl w:val="0"/>
        <w:suppressLineNumbers w:val="0"/>
        <w:spacing w:before="0" w:beforeAutospacing="0" w:after="0" w:afterAutospacing="0" w:line="560" w:lineRule="exact"/>
        <w:ind w:left="0" w:right="0" w:firstLine="643" w:firstLineChars="200"/>
        <w:jc w:val="both"/>
        <w:rPr>
          <w:rFonts w:hint="eastAsia" w:ascii="楷体" w:hAnsi="楷体" w:eastAsia="楷体" w:cs="楷体"/>
          <w:b/>
          <w:bCs w:val="0"/>
          <w:sz w:val="32"/>
          <w:szCs w:val="32"/>
          <w:lang w:val="en-US"/>
        </w:rPr>
      </w:pPr>
      <w:r>
        <w:rPr>
          <w:rFonts w:hint="eastAsia" w:ascii="楷体" w:hAnsi="楷体" w:eastAsia="楷体" w:cs="楷体"/>
          <w:b/>
          <w:bCs w:val="0"/>
          <w:kern w:val="2"/>
          <w:sz w:val="32"/>
          <w:szCs w:val="32"/>
          <w:lang w:val="en-US" w:eastAsia="zh-CN" w:bidi="ar"/>
        </w:rPr>
        <w:t>（四）完善多方验收机制</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用户单位、资产后勤处可以根据采购项目的具体情况，邀请国家认可的质量检测机构、评估机构或者行业主管部门等参与验收。</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1.行业验收</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行业验收指有关行政部门对验收有强制性要求（如电梯、行车等）或者因专业性需要委托第三方机构验收的，按照政府或行业规定的要求进行验收。</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第三方机构应当是具有资质的专业质量检测机构，委托第三方机构进行履约验收，应当订立委托代理协议，明确委托代理内容、标准、要求等权利义务事项。验收标准应当符合国家强制性规定、政策要求、安全标准、行业或企业有关标准。</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2.社会监督验收</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社会监督验收指邀请未中标（成交）供应商、实际使用人或受益者、潜在供应商、社会媒体等（以下简称“社会监督人”）参与采购项目履约验收。</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社会监督人在验收过程中可以记录相关数据信息，向学校相关部门反映违法、违规、违约等行为，但不得干扰、阻扰验收工作的正常开展。</w:t>
      </w:r>
    </w:p>
    <w:p>
      <w:pPr>
        <w:keepNext w:val="0"/>
        <w:keepLines w:val="0"/>
        <w:widowControl w:val="0"/>
        <w:suppressLineNumbers w:val="0"/>
        <w:spacing w:before="0" w:beforeAutospacing="0" w:after="0" w:afterAutospacing="0" w:line="560" w:lineRule="exact"/>
        <w:ind w:left="0" w:right="0" w:firstLine="643" w:firstLineChars="200"/>
        <w:jc w:val="both"/>
        <w:rPr>
          <w:rFonts w:hint="eastAsia" w:ascii="楷体" w:hAnsi="楷体" w:eastAsia="楷体" w:cs="楷体"/>
          <w:b/>
          <w:bCs w:val="0"/>
          <w:sz w:val="32"/>
          <w:szCs w:val="32"/>
          <w:lang w:val="en-US"/>
        </w:rPr>
      </w:pPr>
      <w:r>
        <w:rPr>
          <w:rFonts w:hint="eastAsia" w:ascii="楷体" w:hAnsi="楷体" w:eastAsia="楷体" w:cs="楷体"/>
          <w:b/>
          <w:bCs w:val="0"/>
          <w:kern w:val="2"/>
          <w:sz w:val="32"/>
          <w:szCs w:val="32"/>
          <w:lang w:val="en-US" w:eastAsia="zh-CN" w:bidi="ar"/>
        </w:rPr>
        <w:t>（五）规范验收档案管理</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验收结束后，验收小组应当出具验收报告，明确验收意见，并经全体验收人员签字，并由用户单位与供应商盖章确认；委托第三方检测的，需附上检测报告。对验收过程中遗留的非原则性问题，记入验收备忘，供需双方签字确认。</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验收完成后，应当将所有纸质验收资料作为采购项目档案妥善保管，不得伪造、编造、隐匿或者违规销毁。政府采购项目验收资料保存期为验收结束之日起至少15年；非政府采购项目验收资料保存期为验收结束之日起至少5年。</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黑体" w:hAnsi="宋体" w:eastAsia="黑体" w:cs="Times New Roman"/>
          <w:sz w:val="32"/>
          <w:szCs w:val="32"/>
          <w:lang w:val="en-US"/>
        </w:rPr>
      </w:pPr>
      <w:r>
        <w:rPr>
          <w:rFonts w:hint="eastAsia" w:ascii="黑体" w:hAnsi="宋体" w:eastAsia="黑体" w:cs="Times New Roman"/>
          <w:kern w:val="2"/>
          <w:sz w:val="32"/>
          <w:szCs w:val="32"/>
          <w:lang w:val="en-US" w:eastAsia="zh-CN" w:bidi="ar"/>
        </w:rPr>
        <w:t>三、妥善处理争议</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采购合同没有约定或约定不明确的验收内容和标准，合同当事人可以进行协商达成补充约定；不能协商一致且不能按采购合同相关条款或者交易习惯确定的，按《中华人民共和国民法典》合同履行的有关规定执行。</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验收结果与采购合同约定的内容不完全一致的，经验收小组确认，供应商所提供的货物或服务较合同约定的内容提高了使用功能、标准或者属于技术更新换代产品，在不影响、不降低整个采购项目的运行质量和功能以及合同金额不提高的前提下，可以验收通过。其他不符合情况的，处理方式按《厦门大学货物和服务验收管理办法》第十五条规定执行。</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验收未通过的，处理方式按《厦门大学货物和服务验收管理办法》第十七条规定执行。因供应商原因导致项目整改后才能验收合格的或因供应商原因导致同一项目连续两次验收未通过等情形，应当及时向学校政府采购管理办公室（以下简称采购办）反映供应商违约失信行为。</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项目验收合格应当作为采购项目资金支付的必要条件。验收不合格的，应当终止资金支付，并按照采购合同约定，对供应商提起追偿。涉及分段验收付款的项目，应当具备符合合同约定的阶段性验收报告。</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黑体" w:hAnsi="宋体" w:eastAsia="黑体" w:cs="Times New Roman"/>
          <w:kern w:val="2"/>
          <w:sz w:val="32"/>
          <w:szCs w:val="32"/>
          <w:lang w:val="en-US" w:eastAsia="zh-CN" w:bidi="ar"/>
        </w:rPr>
        <w:t>四、其他事项</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相关当事人在采购项目履约验收过程中，存在违法违规行为的，由学校采购办依据相应的法律法规和学校采购管理相关规定进行处理；给他人造成损失的，应当赔偿相应损失；涉嫌犯罪的，依法移送司法机关处理。</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本通知自公布之日起执行，由资产后勤处负责解释。此前有关规定与本通知不一致的，按照本通知执行，执行过程中如遇国家政策调整或与国家政策有冲突的从其规定。</w:t>
      </w:r>
    </w:p>
    <w:p>
      <w:pPr>
        <w:keepNext w:val="0"/>
        <w:keepLines w:val="0"/>
        <w:widowControl w:val="0"/>
        <w:suppressLineNumbers w:val="0"/>
        <w:spacing w:before="0" w:beforeAutospacing="0" w:after="0" w:afterAutospacing="0" w:line="560" w:lineRule="exact"/>
        <w:ind w:left="0" w:right="0" w:firstLine="0" w:firstLineChars="0"/>
        <w:jc w:val="both"/>
        <w:rPr>
          <w:rFonts w:hint="default" w:ascii="仿宋" w:hAnsi="仿宋" w:eastAsia="仿宋" w:cs="仿宋"/>
          <w:sz w:val="32"/>
          <w:szCs w:val="32"/>
        </w:rPr>
      </w:pPr>
      <w:r>
        <w:rPr>
          <w:rFonts w:hint="default" w:ascii="仿宋" w:hAnsi="仿宋" w:eastAsia="仿宋" w:cs="仿宋"/>
          <w:sz w:val="32"/>
          <w:szCs w:val="32"/>
        </w:rPr>
        <w:t xml:space="preserve">    </w:t>
      </w:r>
    </w:p>
    <w:p>
      <w:pPr>
        <w:keepNext w:val="0"/>
        <w:keepLines w:val="0"/>
        <w:widowControl w:val="0"/>
        <w:suppressLineNumbers w:val="0"/>
        <w:spacing w:before="0" w:beforeAutospacing="0" w:after="0" w:afterAutospacing="0" w:line="560" w:lineRule="exact"/>
        <w:ind w:left="0" w:leftChars="0" w:right="0" w:firstLine="640" w:firstLineChars="200"/>
        <w:jc w:val="both"/>
        <w:rPr>
          <w:rFonts w:hint="default" w:ascii="仿宋" w:hAnsi="仿宋" w:eastAsia="仿宋" w:cs="仿宋"/>
          <w:sz w:val="32"/>
          <w:szCs w:val="32"/>
        </w:rPr>
      </w:pPr>
      <w:r>
        <w:rPr>
          <w:rFonts w:hint="default" w:ascii="仿宋" w:hAnsi="仿宋" w:eastAsia="仿宋" w:cs="仿宋"/>
          <w:sz w:val="32"/>
          <w:szCs w:val="32"/>
        </w:rPr>
        <w:t>附件：1.货物验收报告（初验）</w:t>
      </w:r>
    </w:p>
    <w:p>
      <w:pPr>
        <w:keepNext w:val="0"/>
        <w:keepLines w:val="0"/>
        <w:widowControl w:val="0"/>
        <w:suppressLineNumbers w:val="0"/>
        <w:spacing w:before="0" w:beforeAutospacing="0" w:after="0" w:afterAutospacing="0" w:line="560" w:lineRule="exact"/>
        <w:ind w:left="0" w:leftChars="0" w:right="0" w:firstLine="0" w:firstLineChars="0"/>
        <w:jc w:val="both"/>
        <w:rPr>
          <w:rFonts w:hint="default" w:ascii="仿宋" w:hAnsi="仿宋" w:eastAsia="仿宋" w:cs="仿宋"/>
          <w:sz w:val="32"/>
          <w:szCs w:val="32"/>
        </w:rPr>
      </w:pPr>
      <w:r>
        <w:rPr>
          <w:rFonts w:hint="default" w:ascii="仿宋" w:hAnsi="仿宋" w:eastAsia="仿宋" w:cs="仿宋"/>
          <w:sz w:val="32"/>
          <w:szCs w:val="32"/>
        </w:rPr>
        <w:t xml:space="preserve">          2.货物验收报告（终验）</w:t>
      </w:r>
    </w:p>
    <w:p>
      <w:pPr>
        <w:keepNext w:val="0"/>
        <w:keepLines w:val="0"/>
        <w:widowControl w:val="0"/>
        <w:suppressLineNumbers w:val="0"/>
        <w:spacing w:before="0" w:beforeAutospacing="0" w:after="0" w:afterAutospacing="0" w:line="560" w:lineRule="exact"/>
        <w:ind w:left="0" w:right="840" w:rightChars="400" w:firstLine="640" w:firstLineChars="200"/>
        <w:jc w:val="right"/>
        <w:rPr>
          <w:rFonts w:hint="eastAsia" w:ascii="仿宋" w:hAnsi="仿宋" w:eastAsia="仿宋" w:cs="仿宋"/>
          <w:sz w:val="32"/>
          <w:szCs w:val="32"/>
          <w:lang w:val="en-US"/>
        </w:rPr>
      </w:pPr>
    </w:p>
    <w:p>
      <w:pPr>
        <w:keepNext w:val="0"/>
        <w:keepLines w:val="0"/>
        <w:widowControl w:val="0"/>
        <w:suppressLineNumbers w:val="0"/>
        <w:spacing w:before="0" w:beforeAutospacing="0" w:after="0" w:afterAutospacing="0" w:line="560" w:lineRule="exact"/>
        <w:ind w:left="0" w:right="840" w:rightChars="400" w:firstLine="640" w:firstLineChars="200"/>
        <w:jc w:val="right"/>
        <w:rPr>
          <w:rFonts w:hint="eastAsia" w:ascii="仿宋" w:hAnsi="仿宋" w:eastAsia="仿宋" w:cs="仿宋"/>
          <w:sz w:val="32"/>
          <w:szCs w:val="32"/>
          <w:lang w:val="en-US"/>
        </w:rPr>
      </w:pPr>
    </w:p>
    <w:p>
      <w:pPr>
        <w:keepNext w:val="0"/>
        <w:keepLines w:val="0"/>
        <w:widowControl w:val="0"/>
        <w:suppressLineNumbers w:val="0"/>
        <w:spacing w:before="0" w:beforeAutospacing="0" w:after="0" w:afterAutospacing="0" w:line="560" w:lineRule="exact"/>
        <w:ind w:left="0" w:right="840" w:rightChars="400" w:firstLine="640" w:firstLineChars="200"/>
        <w:jc w:val="right"/>
        <w:rPr>
          <w:rFonts w:hint="eastAsia" w:ascii="仿宋" w:hAnsi="仿宋" w:eastAsia="仿宋" w:cs="仿宋"/>
          <w:sz w:val="32"/>
          <w:szCs w:val="32"/>
          <w:lang w:val="en-US"/>
        </w:rPr>
      </w:pPr>
    </w:p>
    <w:p>
      <w:pPr>
        <w:keepNext w:val="0"/>
        <w:keepLines w:val="0"/>
        <w:widowControl w:val="0"/>
        <w:suppressLineNumbers w:val="0"/>
        <w:spacing w:before="0" w:beforeAutospacing="0" w:after="0" w:afterAutospacing="0" w:line="560" w:lineRule="exact"/>
        <w:ind w:left="0" w:right="630" w:rightChars="300" w:firstLine="640" w:firstLineChars="200"/>
        <w:jc w:val="right"/>
        <w:rPr>
          <w:rFonts w:hint="eastAsia" w:ascii="仿宋" w:hAnsi="仿宋" w:eastAsia="仿宋" w:cs="仿宋"/>
          <w:sz w:val="32"/>
          <w:szCs w:val="32"/>
          <w:lang w:val="en-US"/>
        </w:rPr>
      </w:pPr>
      <w:r>
        <w:rPr>
          <w:rFonts w:hint="eastAsia" w:ascii="仿宋" w:hAnsi="仿宋" w:eastAsia="仿宋" w:cs="仿宋"/>
          <w:kern w:val="2"/>
          <w:sz w:val="32"/>
          <w:szCs w:val="32"/>
          <w:lang w:val="en-US" w:eastAsia="zh-CN" w:bidi="ar"/>
        </w:rPr>
        <w:t>资产与后勤事务管理处</w:t>
      </w:r>
    </w:p>
    <w:p>
      <w:pPr>
        <w:keepNext w:val="0"/>
        <w:keepLines w:val="0"/>
        <w:widowControl w:val="0"/>
        <w:suppressLineNumbers w:val="0"/>
        <w:spacing w:before="0" w:beforeAutospacing="0" w:after="0" w:afterAutospacing="0" w:line="560" w:lineRule="exact"/>
        <w:ind w:left="0" w:right="1050" w:rightChars="500" w:firstLine="640" w:firstLineChars="200"/>
        <w:jc w:val="right"/>
        <w:rPr>
          <w:rFonts w:hint="eastAsia" w:ascii="仿宋" w:hAnsi="仿宋" w:eastAsia="仿宋" w:cs="仿宋"/>
          <w:sz w:val="32"/>
          <w:szCs w:val="32"/>
          <w:lang w:val="en-US"/>
        </w:rPr>
      </w:pPr>
      <w:r>
        <w:rPr>
          <w:rFonts w:hint="default" w:ascii="仿宋" w:hAnsi="仿宋" w:eastAsia="仿宋" w:cs="仿宋"/>
          <w:kern w:val="2"/>
          <w:sz w:val="32"/>
          <w:szCs w:val="32"/>
          <w:lang w:eastAsia="zh-CN" w:bidi="ar"/>
        </w:rPr>
        <w:t xml:space="preserve"> </w:t>
      </w:r>
      <w:r>
        <w:rPr>
          <w:rFonts w:hint="eastAsia" w:ascii="仿宋" w:hAnsi="仿宋" w:eastAsia="仿宋" w:cs="仿宋"/>
          <w:kern w:val="2"/>
          <w:sz w:val="32"/>
          <w:szCs w:val="32"/>
          <w:lang w:val="en-US" w:eastAsia="zh-CN" w:bidi="ar"/>
        </w:rPr>
        <w:t>2022年7月1</w:t>
      </w:r>
      <w:r>
        <w:rPr>
          <w:rFonts w:hint="default" w:ascii="仿宋" w:hAnsi="仿宋" w:eastAsia="仿宋" w:cs="仿宋"/>
          <w:kern w:val="2"/>
          <w:sz w:val="32"/>
          <w:szCs w:val="32"/>
          <w:lang w:eastAsia="zh-CN" w:bidi="ar"/>
        </w:rPr>
        <w:t>9</w:t>
      </w:r>
      <w:r>
        <w:rPr>
          <w:rFonts w:hint="eastAsia" w:ascii="仿宋" w:hAnsi="仿宋" w:eastAsia="仿宋" w:cs="仿宋"/>
          <w:kern w:val="2"/>
          <w:sz w:val="32"/>
          <w:szCs w:val="32"/>
          <w:lang w:val="en-US" w:eastAsia="zh-CN" w:bidi="ar"/>
        </w:rPr>
        <w:t>日</w:t>
      </w:r>
    </w:p>
    <w:p>
      <w:pPr>
        <w:widowControl/>
        <w:autoSpaceDE w:val="0"/>
        <w:autoSpaceDN w:val="0"/>
        <w:adjustRightInd w:val="0"/>
        <w:jc w:val="left"/>
        <w:rPr>
          <w:rFonts w:hint="eastAsia" w:ascii="微软雅黑" w:hAnsi="微软雅黑" w:eastAsia="微软雅黑" w:cs="Times"/>
          <w:kern w:val="0"/>
          <w:sz w:val="21"/>
          <w:szCs w:val="21"/>
          <w:lang w:val="en-US" w:eastAsia="zh-CN"/>
        </w:rPr>
      </w:pPr>
    </w:p>
    <w:bookmarkEnd w:id="1"/>
    <w:p>
      <w:pPr>
        <w:widowControl/>
        <w:adjustRightInd w:val="0"/>
        <w:contextualSpacing/>
        <w:rPr>
          <w:rFonts w:hint="eastAsia" w:ascii="仿宋" w:hAnsi="仿宋" w:eastAsia="仿宋"/>
          <w:sz w:val="32"/>
          <w:szCs w:val="30"/>
        </w:rPr>
      </w:pPr>
      <w:bookmarkStart w:id="6" w:name="_GoBack"/>
      <w:r>
        <w:rPr>
          <w:rFonts w:hint="eastAsia" w:ascii="仿宋" w:hAnsi="仿宋" w:eastAsia="仿宋"/>
          <w:sz w:val="32"/>
          <w:szCs w:val="30"/>
        </w:rPr>
        <mc:AlternateContent>
          <mc:Choice Requires="wps">
            <w:drawing>
              <wp:anchor distT="0" distB="0" distL="114300" distR="114300" simplePos="0" relativeHeight="251657216" behindDoc="0" locked="0" layoutInCell="1" allowOverlap="1">
                <wp:simplePos x="0" y="0"/>
                <wp:positionH relativeFrom="margin">
                  <wp:posOffset>-1905</wp:posOffset>
                </wp:positionH>
                <wp:positionV relativeFrom="margin">
                  <wp:align>bottom</wp:align>
                </wp:positionV>
                <wp:extent cx="5615940" cy="504190"/>
                <wp:effectExtent l="0" t="2540" r="0" b="0"/>
                <wp:wrapSquare wrapText="bothSides"/>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615940" cy="504190"/>
                        </a:xfrm>
                        <a:prstGeom prst="rect">
                          <a:avLst/>
                        </a:prstGeom>
                        <a:solidFill>
                          <a:srgbClr val="FFFFFF"/>
                        </a:solidFill>
                        <a:ln>
                          <a:noFill/>
                        </a:ln>
                      </wps:spPr>
                      <wps:txbx>
                        <w:txbxContent>
                          <w:tbl>
                            <w:tblPr>
                              <w:tblStyle w:val="6"/>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4422" w:type="dxa"/>
                                  <w:tcBorders>
                                    <w:top w:val="single" w:color="auto" w:sz="12" w:space="0"/>
                                    <w:left w:val="nil"/>
                                    <w:bottom w:val="single" w:color="auto" w:sz="12" w:space="0"/>
                                    <w:right w:val="nil"/>
                                  </w:tcBorders>
                                  <w:vAlign w:val="center"/>
                                </w:tcPr>
                                <w:p>
                                  <w:pPr>
                                    <w:ind w:left="210" w:leftChars="100"/>
                                    <w:rPr>
                                      <w:rFonts w:hint="eastAsia" w:ascii="仿宋_GB2312" w:hAnsi="仿宋_GB2312" w:eastAsia="仿宋_GB2312"/>
                                      <w:sz w:val="28"/>
                                      <w:lang w:eastAsia="zh-CN"/>
                                    </w:rPr>
                                  </w:pPr>
                                  <w:r>
                                    <w:rPr>
                                      <w:rFonts w:hint="eastAsia" w:ascii="仿宋_GB2312" w:hAnsi="仿宋_GB2312" w:eastAsia="仿宋_GB2312"/>
                                      <w:sz w:val="28"/>
                                      <w:lang w:eastAsia="zh-CN"/>
                                    </w:rPr>
                                    <w:t>资产与后勤事务管理处</w:t>
                                  </w:r>
                                </w:p>
                              </w:tc>
                              <w:tc>
                                <w:tcPr>
                                  <w:tcW w:w="4422" w:type="dxa"/>
                                  <w:tcBorders>
                                    <w:top w:val="single" w:color="auto" w:sz="12" w:space="0"/>
                                    <w:left w:val="nil"/>
                                    <w:bottom w:val="single" w:color="auto" w:sz="12" w:space="0"/>
                                    <w:right w:val="nil"/>
                                  </w:tcBorders>
                                  <w:vAlign w:val="center"/>
                                </w:tcPr>
                                <w:p>
                                  <w:pPr>
                                    <w:ind w:right="210" w:rightChars="100"/>
                                    <w:jc w:val="right"/>
                                    <w:rPr>
                                      <w:rFonts w:hint="eastAsia" w:ascii="仿宋_GB2312" w:hAnsi="仿宋_GB2312" w:eastAsia="仿宋_GB2312"/>
                                      <w:sz w:val="28"/>
                                    </w:rPr>
                                  </w:pPr>
                                  <w:r>
                                    <w:rPr>
                                      <w:rFonts w:hint="eastAsia" w:ascii="仿宋_GB2312" w:hAnsi="仿宋_GB2312" w:eastAsia="仿宋_GB2312"/>
                                      <w:sz w:val="28"/>
                                      <w:lang w:eastAsia="zh-CN"/>
                                    </w:rPr>
                                    <w:t>2022年7月19日</w:t>
                                  </w:r>
                                  <w:r>
                                    <w:rPr>
                                      <w:rFonts w:hint="eastAsia" w:ascii="仿宋_GB2312" w:hAnsi="仿宋_GB2312" w:eastAsia="仿宋_GB2312"/>
                                      <w:sz w:val="28"/>
                                    </w:rPr>
                                    <w:t>印发</w:t>
                                  </w:r>
                                </w:p>
                              </w:tc>
                            </w:tr>
                          </w:tbl>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0.15pt;height:39.7pt;width:442.2pt;mso-position-horizontal-relative:margin;mso-position-vertical:bottom;mso-position-vertical-relative:margin;mso-wrap-distance-bottom:0pt;mso-wrap-distance-left:9pt;mso-wrap-distance-right:9pt;mso-wrap-distance-top:0pt;z-index:251657216;mso-width-relative:page;mso-height-relative:page;" fillcolor="#FFFFFF" filled="t" stroked="f" coordsize="21600,21600" o:gfxdata="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PVN37TU&#10;AAAABQEAAA8AAAAAAAAAAQAgAAAAOAAAAGRycy9kb3ducmV2LnhtbFBLAQIUABQAAAAIAIdO4kAp&#10;SavqDgIAAPADAAAOAAAAAAAAAAEAIAAAADkBAABkcnMvZTJvRG9jLnhtbFBLBQYAAAAABgAGAFkB&#10;AAC5BQAAAAA=&#10;">
                <v:fill on="t" focussize="0,0"/>
                <v:stroke on="f"/>
                <v:imagedata o:title=""/>
                <o:lock v:ext="edit" aspectratio="f"/>
                <v:textbox>
                  <w:txbxContent>
                    <w:tbl>
                      <w:tblPr>
                        <w:tblStyle w:val="6"/>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4422" w:type="dxa"/>
                            <w:tcBorders>
                              <w:top w:val="single" w:color="auto" w:sz="12" w:space="0"/>
                              <w:left w:val="nil"/>
                              <w:bottom w:val="single" w:color="auto" w:sz="12" w:space="0"/>
                              <w:right w:val="nil"/>
                            </w:tcBorders>
                            <w:vAlign w:val="center"/>
                          </w:tcPr>
                          <w:p>
                            <w:pPr>
                              <w:ind w:left="210" w:leftChars="100"/>
                              <w:rPr>
                                <w:rFonts w:hint="eastAsia" w:ascii="仿宋_GB2312" w:hAnsi="仿宋_GB2312" w:eastAsia="仿宋_GB2312"/>
                                <w:sz w:val="28"/>
                                <w:lang w:eastAsia="zh-CN"/>
                              </w:rPr>
                            </w:pPr>
                            <w:r>
                              <w:rPr>
                                <w:rFonts w:hint="eastAsia" w:ascii="仿宋_GB2312" w:hAnsi="仿宋_GB2312" w:eastAsia="仿宋_GB2312"/>
                                <w:sz w:val="28"/>
                                <w:lang w:eastAsia="zh-CN"/>
                              </w:rPr>
                              <w:t>资产与后勤事务管理处</w:t>
                            </w:r>
                          </w:p>
                        </w:tc>
                        <w:tc>
                          <w:tcPr>
                            <w:tcW w:w="4422" w:type="dxa"/>
                            <w:tcBorders>
                              <w:top w:val="single" w:color="auto" w:sz="12" w:space="0"/>
                              <w:left w:val="nil"/>
                              <w:bottom w:val="single" w:color="auto" w:sz="12" w:space="0"/>
                              <w:right w:val="nil"/>
                            </w:tcBorders>
                            <w:vAlign w:val="center"/>
                          </w:tcPr>
                          <w:p>
                            <w:pPr>
                              <w:ind w:right="210" w:rightChars="100"/>
                              <w:jc w:val="right"/>
                              <w:rPr>
                                <w:rFonts w:hint="eastAsia" w:ascii="仿宋_GB2312" w:hAnsi="仿宋_GB2312" w:eastAsia="仿宋_GB2312"/>
                                <w:sz w:val="28"/>
                              </w:rPr>
                            </w:pPr>
                            <w:r>
                              <w:rPr>
                                <w:rFonts w:hint="eastAsia" w:ascii="仿宋_GB2312" w:hAnsi="仿宋_GB2312" w:eastAsia="仿宋_GB2312"/>
                                <w:sz w:val="28"/>
                                <w:lang w:eastAsia="zh-CN"/>
                              </w:rPr>
                              <w:t>2022年7月19日</w:t>
                            </w:r>
                            <w:r>
                              <w:rPr>
                                <w:rFonts w:hint="eastAsia" w:ascii="仿宋_GB2312" w:hAnsi="仿宋_GB2312" w:eastAsia="仿宋_GB2312"/>
                                <w:sz w:val="28"/>
                              </w:rPr>
                              <w:t>印发</w:t>
                            </w:r>
                          </w:p>
                        </w:tc>
                      </w:tr>
                    </w:tbl>
                    <w:p/>
                  </w:txbxContent>
                </v:textbox>
                <w10:wrap type="square"/>
              </v:shape>
            </w:pict>
          </mc:Fallback>
        </mc:AlternateContent>
      </w:r>
      <w:bookmarkEnd w:id="6"/>
      <w:bookmarkStart w:id="2" w:name="doctype"/>
      <w:bookmarkEnd w:id="2"/>
      <w:bookmarkStart w:id="3" w:name="printunit"/>
      <w:bookmarkEnd w:id="3"/>
      <w:bookmarkStart w:id="4" w:name="printdate"/>
      <w:bookmarkEnd w:id="4"/>
      <w:bookmarkStart w:id="5" w:name="xmusendunit"/>
      <w:bookmarkEnd w:id="5"/>
    </w:p>
    <w:sectPr>
      <w:footerReference r:id="rId5" w:type="first"/>
      <w:footerReference r:id="rId3" w:type="default"/>
      <w:footerReference r:id="rId4" w:type="even"/>
      <w:pgSz w:w="11906" w:h="16838"/>
      <w:pgMar w:top="2098" w:right="1474" w:bottom="1985" w:left="1588" w:header="851" w:footer="1417" w:gutter="0"/>
      <w:pgNumType w:fmt="numberInDash"/>
      <w:cols w:space="720" w:num="1"/>
      <w:titlePg/>
      <w:docGrid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Kingsoft Confetti">
    <w:panose1 w:val="05000100010000000000"/>
    <w:charset w:val="00"/>
    <w:family w:val="auto"/>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Bookman Old Style">
    <w:panose1 w:val="02050604050505090204"/>
    <w:charset w:val="00"/>
    <w:family w:val="roman"/>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Times">
    <w:panose1 w:val="020B7200000000000000"/>
    <w:charset w:val="00"/>
    <w:family w:val="roman"/>
    <w:pitch w:val="default"/>
    <w:sig w:usb0="00000000" w:usb1="00000000" w:usb2="00000000" w:usb3="00000000" w:csb0="000071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63" w:firstLineChars="94"/>
      <w:jc w:val="cente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2 -</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38" w:rightChars="161" w:firstLine="263"/>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A29"/>
    <w:rsid w:val="0000383D"/>
    <w:rsid w:val="000B2A3C"/>
    <w:rsid w:val="000C6E1F"/>
    <w:rsid w:val="000E7300"/>
    <w:rsid w:val="000F0D2C"/>
    <w:rsid w:val="001224A9"/>
    <w:rsid w:val="001350FA"/>
    <w:rsid w:val="00160912"/>
    <w:rsid w:val="00164C2E"/>
    <w:rsid w:val="001703C5"/>
    <w:rsid w:val="00192616"/>
    <w:rsid w:val="00195991"/>
    <w:rsid w:val="00197115"/>
    <w:rsid w:val="001D45E1"/>
    <w:rsid w:val="001F6A36"/>
    <w:rsid w:val="0024751B"/>
    <w:rsid w:val="00273341"/>
    <w:rsid w:val="002C6A67"/>
    <w:rsid w:val="002F7763"/>
    <w:rsid w:val="00315E95"/>
    <w:rsid w:val="0033085D"/>
    <w:rsid w:val="003725AF"/>
    <w:rsid w:val="003C2476"/>
    <w:rsid w:val="003D2619"/>
    <w:rsid w:val="004F5752"/>
    <w:rsid w:val="00503E39"/>
    <w:rsid w:val="00556983"/>
    <w:rsid w:val="00566316"/>
    <w:rsid w:val="00571DE5"/>
    <w:rsid w:val="00580825"/>
    <w:rsid w:val="005D467A"/>
    <w:rsid w:val="0067351C"/>
    <w:rsid w:val="00682D71"/>
    <w:rsid w:val="006A05A0"/>
    <w:rsid w:val="006F11E3"/>
    <w:rsid w:val="00717B2D"/>
    <w:rsid w:val="007A6262"/>
    <w:rsid w:val="007B3E0E"/>
    <w:rsid w:val="007B672D"/>
    <w:rsid w:val="007C3F5F"/>
    <w:rsid w:val="0083313E"/>
    <w:rsid w:val="008B70FD"/>
    <w:rsid w:val="008C1469"/>
    <w:rsid w:val="008C3814"/>
    <w:rsid w:val="00921EBA"/>
    <w:rsid w:val="00987C01"/>
    <w:rsid w:val="009C55DF"/>
    <w:rsid w:val="009E53B0"/>
    <w:rsid w:val="00A87F1F"/>
    <w:rsid w:val="00AC3015"/>
    <w:rsid w:val="00AE4B2F"/>
    <w:rsid w:val="00B10629"/>
    <w:rsid w:val="00B43A78"/>
    <w:rsid w:val="00C03C0D"/>
    <w:rsid w:val="00C03CC7"/>
    <w:rsid w:val="00C12A6C"/>
    <w:rsid w:val="00C872EA"/>
    <w:rsid w:val="00C9593F"/>
    <w:rsid w:val="00CB6FB9"/>
    <w:rsid w:val="00CD0CEE"/>
    <w:rsid w:val="00D16EA5"/>
    <w:rsid w:val="00D8475C"/>
    <w:rsid w:val="00DA54B0"/>
    <w:rsid w:val="00DB0EB5"/>
    <w:rsid w:val="00E275A2"/>
    <w:rsid w:val="00EB1F29"/>
    <w:rsid w:val="00EC3944"/>
    <w:rsid w:val="00EC647E"/>
    <w:rsid w:val="00ED2F49"/>
    <w:rsid w:val="00F04981"/>
    <w:rsid w:val="00F04EA6"/>
    <w:rsid w:val="00F36E29"/>
    <w:rsid w:val="00F559B0"/>
    <w:rsid w:val="00F77A29"/>
    <w:rsid w:val="00FF6A7B"/>
    <w:rsid w:val="374F8ABF"/>
    <w:rsid w:val="37FA7B63"/>
    <w:rsid w:val="3FDF05B2"/>
    <w:rsid w:val="3FF778E2"/>
    <w:rsid w:val="4D6A8000"/>
    <w:rsid w:val="4E75064E"/>
    <w:rsid w:val="57DC10EB"/>
    <w:rsid w:val="5FBF4384"/>
    <w:rsid w:val="5FFBE296"/>
    <w:rsid w:val="657F1FB0"/>
    <w:rsid w:val="667DE0E3"/>
    <w:rsid w:val="6BF51301"/>
    <w:rsid w:val="6FCEA266"/>
    <w:rsid w:val="77FF4C2F"/>
    <w:rsid w:val="78FF4380"/>
    <w:rsid w:val="7D5EB387"/>
    <w:rsid w:val="7DD9802E"/>
    <w:rsid w:val="A5775EB2"/>
    <w:rsid w:val="AFDBF626"/>
    <w:rsid w:val="BFC7C81E"/>
    <w:rsid w:val="BFEF602B"/>
    <w:rsid w:val="BFFB67F1"/>
    <w:rsid w:val="E67FC665"/>
    <w:rsid w:val="E7CB0268"/>
    <w:rsid w:val="EDEFD0C6"/>
    <w:rsid w:val="F6FFA896"/>
    <w:rsid w:val="F73BEFEA"/>
    <w:rsid w:val="FB9FEE70"/>
    <w:rsid w:val="FFFAEF3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heme="minorHAnsi" w:hAnsiTheme="minorHAnsi" w:eastAsiaTheme="minorEastAsia" w:cstheme="minorBidi"/>
      <w:b/>
      <w:kern w:val="44"/>
      <w:sz w:val="44"/>
    </w:rPr>
  </w:style>
  <w:style w:type="character" w:default="1" w:styleId="8">
    <w:name w:val="Default Paragraph Font"/>
    <w:semiHidden/>
    <w:qFormat/>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kern w:val="0"/>
      <w:sz w:val="18"/>
      <w:szCs w:val="18"/>
      <w:lang w:val="zh-CN" w:eastAsia="zh-CN"/>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page number"/>
    <w:qFormat/>
    <w:uiPriority w:val="0"/>
  </w:style>
  <w:style w:type="character" w:customStyle="1" w:styleId="10">
    <w:name w:val="页脚 Char"/>
    <w:link w:val="4"/>
    <w:qFormat/>
    <w:uiPriority w:val="99"/>
    <w:rPr>
      <w:rFonts w:ascii="Times New Roman" w:hAnsi="Times New Roman" w:eastAsia="宋体" w:cs="Times New Roman"/>
      <w:kern w:val="0"/>
      <w:sz w:val="18"/>
      <w:szCs w:val="18"/>
      <w:lang w:val="zh-CN" w:eastAsia="zh-CN"/>
    </w:rPr>
  </w:style>
  <w:style w:type="character" w:customStyle="1" w:styleId="11">
    <w:name w:val="批注框文本 字符"/>
    <w:link w:val="3"/>
    <w:semiHidden/>
    <w:qFormat/>
    <w:uiPriority w:val="99"/>
    <w:rPr>
      <w:rFonts w:ascii="Times New Roman" w:hAnsi="Times New Roman"/>
      <w:kern w:val="2"/>
      <w:sz w:val="18"/>
      <w:szCs w:val="18"/>
    </w:rPr>
  </w:style>
  <w:style w:type="character" w:customStyle="1" w:styleId="12">
    <w:name w:val="页眉 字符"/>
    <w:link w:val="5"/>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1</Pages>
  <Words>0</Words>
  <Characters>0</Characters>
  <Lines>0</Lines>
  <Paragraphs>0</Paragraphs>
  <TotalTime>0</TotalTime>
  <ScaleCrop>false</ScaleCrop>
  <LinksUpToDate>false</LinksUpToDate>
  <CharactersWithSpaces>0</CharactersWithSpaces>
  <Application>WWO_wpscloud_20211124172602-ea798320c4</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2021-01-24T06:20:00Z</dcterms:created>
  <dc:creator>郑滨</dc:creator>
  <cp:lastModifiedBy>root</cp:lastModifiedBy>
  <dcterms:modified xsi:type="dcterms:W3CDTF">2022-08-03T15:08:09Z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